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62358">
      <w:pPr>
        <w:spacing w:line="540" w:lineRule="exact"/>
        <w:jc w:val="center"/>
        <w:rPr>
          <w:rFonts w:hint="default"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评分细则</w:t>
      </w:r>
    </w:p>
    <w:p w14:paraId="2EC92CA6">
      <w:pPr>
        <w:spacing w:line="540" w:lineRule="exact"/>
        <w:jc w:val="center"/>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（数值计算结果均保留两位小数，第三位四舍五入）</w:t>
      </w:r>
    </w:p>
    <w:p w14:paraId="45EBB113">
      <w:pPr>
        <w:spacing w:line="540" w:lineRule="exact"/>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1、评审分值分布(满分100分)</w:t>
      </w:r>
    </w:p>
    <w:p w14:paraId="3D3EB14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1.1商务部分（</w:t>
      </w:r>
      <w:r>
        <w:rPr>
          <w:rFonts w:hint="eastAsia" w:ascii="仿宋" w:hAnsi="仿宋" w:eastAsia="仿宋" w:cs="仿宋"/>
          <w:color w:val="auto"/>
          <w:sz w:val="24"/>
          <w:highlight w:val="none"/>
          <w:lang w:val="en-US" w:eastAsia="zh-CN"/>
        </w:rPr>
        <w:t>40</w:t>
      </w:r>
      <w:r>
        <w:rPr>
          <w:rFonts w:hint="eastAsia" w:ascii="仿宋" w:hAnsi="仿宋" w:eastAsia="仿宋" w:cs="仿宋"/>
          <w:color w:val="auto"/>
          <w:sz w:val="24"/>
          <w:highlight w:val="none"/>
        </w:rPr>
        <w:t>分）</w:t>
      </w:r>
    </w:p>
    <w:p w14:paraId="4E1DC4C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1.2技术部分（</w:t>
      </w:r>
      <w:r>
        <w:rPr>
          <w:rFonts w:hint="eastAsia" w:ascii="仿宋" w:hAnsi="仿宋" w:eastAsia="仿宋" w:cs="仿宋"/>
          <w:color w:val="auto"/>
          <w:sz w:val="24"/>
          <w:highlight w:val="none"/>
          <w:lang w:val="en-US" w:eastAsia="zh-CN"/>
        </w:rPr>
        <w:t>60</w:t>
      </w:r>
      <w:r>
        <w:rPr>
          <w:rFonts w:hint="eastAsia" w:ascii="仿宋" w:hAnsi="仿宋" w:eastAsia="仿宋" w:cs="仿宋"/>
          <w:color w:val="auto"/>
          <w:sz w:val="24"/>
          <w:highlight w:val="none"/>
        </w:rPr>
        <w:t>分）</w:t>
      </w:r>
    </w:p>
    <w:p w14:paraId="100F37C5">
      <w:pPr>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2、评审标准</w:t>
      </w:r>
    </w:p>
    <w:p w14:paraId="6AACF4D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2.1商务标评审内容及标准（</w:t>
      </w:r>
      <w:r>
        <w:rPr>
          <w:rFonts w:hint="eastAsia" w:ascii="仿宋" w:hAnsi="仿宋" w:eastAsia="仿宋" w:cs="仿宋"/>
          <w:color w:val="auto"/>
          <w:sz w:val="24"/>
          <w:highlight w:val="none"/>
          <w:lang w:val="en-US" w:eastAsia="zh-CN"/>
        </w:rPr>
        <w:t>40</w:t>
      </w:r>
      <w:r>
        <w:rPr>
          <w:rFonts w:hint="eastAsia" w:ascii="仿宋" w:hAnsi="仿宋" w:eastAsia="仿宋" w:cs="仿宋"/>
          <w:color w:val="auto"/>
          <w:sz w:val="24"/>
          <w:highlight w:val="none"/>
        </w:rPr>
        <w:t>分）</w:t>
      </w:r>
    </w:p>
    <w:tbl>
      <w:tblPr>
        <w:tblStyle w:val="2"/>
        <w:tblW w:w="0" w:type="auto"/>
        <w:tblInd w:w="0"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1589"/>
        <w:gridCol w:w="718"/>
        <w:gridCol w:w="7234"/>
      </w:tblGrid>
      <w:tr w14:paraId="562366D1">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1589" w:type="dxa"/>
            <w:tcBorders>
              <w:top w:val="outset" w:color="auto" w:sz="6" w:space="0"/>
              <w:left w:val="outset" w:color="auto" w:sz="6" w:space="0"/>
              <w:bottom w:val="outset" w:color="auto" w:sz="6" w:space="0"/>
              <w:right w:val="outset" w:color="auto" w:sz="6" w:space="0"/>
            </w:tcBorders>
            <w:noWrap w:val="0"/>
            <w:vAlign w:val="center"/>
          </w:tcPr>
          <w:p w14:paraId="67F3394E">
            <w:pPr>
              <w:jc w:val="center"/>
              <w:rPr>
                <w:rFonts w:hint="eastAsia" w:ascii="仿宋" w:hAnsi="仿宋" w:eastAsia="仿宋" w:cs="仿宋"/>
                <w:color w:val="auto"/>
                <w:highlight w:val="none"/>
              </w:rPr>
            </w:pPr>
            <w:r>
              <w:rPr>
                <w:rFonts w:hint="eastAsia" w:ascii="仿宋" w:hAnsi="仿宋" w:eastAsia="仿宋" w:cs="仿宋"/>
                <w:color w:val="auto"/>
                <w:highlight w:val="none"/>
              </w:rPr>
              <w:t>评审项目</w:t>
            </w:r>
          </w:p>
        </w:tc>
        <w:tc>
          <w:tcPr>
            <w:tcW w:w="718" w:type="dxa"/>
            <w:tcBorders>
              <w:top w:val="outset" w:color="auto" w:sz="6" w:space="0"/>
              <w:left w:val="outset" w:color="auto" w:sz="6" w:space="0"/>
              <w:bottom w:val="outset" w:color="auto" w:sz="6" w:space="0"/>
              <w:right w:val="outset" w:color="auto" w:sz="6" w:space="0"/>
            </w:tcBorders>
            <w:noWrap w:val="0"/>
            <w:vAlign w:val="center"/>
          </w:tcPr>
          <w:p w14:paraId="23080965">
            <w:pPr>
              <w:jc w:val="center"/>
              <w:rPr>
                <w:rFonts w:hint="eastAsia" w:ascii="仿宋" w:hAnsi="仿宋" w:eastAsia="仿宋" w:cs="仿宋"/>
                <w:color w:val="auto"/>
                <w:highlight w:val="none"/>
              </w:rPr>
            </w:pPr>
            <w:r>
              <w:rPr>
                <w:rFonts w:hint="eastAsia" w:ascii="仿宋" w:hAnsi="仿宋" w:eastAsia="仿宋" w:cs="仿宋"/>
                <w:color w:val="auto"/>
                <w:highlight w:val="none"/>
              </w:rPr>
              <w:t>分值</w:t>
            </w:r>
          </w:p>
        </w:tc>
        <w:tc>
          <w:tcPr>
            <w:tcW w:w="7234" w:type="dxa"/>
            <w:tcBorders>
              <w:top w:val="outset" w:color="auto" w:sz="6" w:space="0"/>
              <w:left w:val="outset" w:color="auto" w:sz="6" w:space="0"/>
              <w:bottom w:val="outset" w:color="auto" w:sz="6" w:space="0"/>
              <w:right w:val="outset" w:color="auto" w:sz="6" w:space="0"/>
            </w:tcBorders>
            <w:noWrap w:val="0"/>
            <w:vAlign w:val="center"/>
          </w:tcPr>
          <w:p w14:paraId="01E0C1F1">
            <w:pPr>
              <w:jc w:val="center"/>
              <w:rPr>
                <w:rFonts w:hint="eastAsia" w:ascii="仿宋" w:hAnsi="仿宋" w:eastAsia="仿宋" w:cs="仿宋"/>
                <w:color w:val="auto"/>
                <w:highlight w:val="none"/>
              </w:rPr>
            </w:pPr>
            <w:r>
              <w:rPr>
                <w:rFonts w:hint="eastAsia" w:ascii="仿宋" w:hAnsi="仿宋" w:eastAsia="仿宋" w:cs="仿宋"/>
                <w:color w:val="auto"/>
                <w:highlight w:val="none"/>
              </w:rPr>
              <w:t>依据</w:t>
            </w:r>
          </w:p>
        </w:tc>
      </w:tr>
      <w:tr w14:paraId="38C15BE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1589" w:type="dxa"/>
            <w:tcBorders>
              <w:top w:val="outset" w:color="auto" w:sz="6" w:space="0"/>
              <w:left w:val="outset" w:color="auto" w:sz="6" w:space="0"/>
              <w:bottom w:val="outset" w:color="auto" w:sz="6" w:space="0"/>
              <w:right w:val="outset" w:color="auto" w:sz="6" w:space="0"/>
            </w:tcBorders>
            <w:noWrap w:val="0"/>
            <w:vAlign w:val="center"/>
          </w:tcPr>
          <w:p w14:paraId="48435B0C">
            <w:pPr>
              <w:keepNext w:val="0"/>
              <w:keepLines w:val="0"/>
              <w:widowControl/>
              <w:suppressLineNumbers w:val="0"/>
              <w:jc w:val="center"/>
              <w:rPr>
                <w:sz w:val="21"/>
                <w:szCs w:val="21"/>
              </w:rPr>
            </w:pPr>
            <w:r>
              <w:rPr>
                <w:rFonts w:ascii="仿宋" w:hAnsi="仿宋" w:eastAsia="仿宋" w:cs="仿宋"/>
                <w:color w:val="000000"/>
                <w:kern w:val="0"/>
                <w:sz w:val="21"/>
                <w:szCs w:val="21"/>
                <w:lang w:val="en-US" w:eastAsia="zh-CN" w:bidi="ar"/>
              </w:rPr>
              <w:t>报价（供应商提</w:t>
            </w:r>
          </w:p>
          <w:p w14:paraId="1990540D">
            <w:pPr>
              <w:keepNext w:val="0"/>
              <w:keepLines w:val="0"/>
              <w:widowControl/>
              <w:suppressLineNumbers w:val="0"/>
              <w:jc w:val="center"/>
              <w:rPr>
                <w:sz w:val="21"/>
                <w:szCs w:val="21"/>
              </w:rPr>
            </w:pPr>
            <w:r>
              <w:rPr>
                <w:rFonts w:hint="eastAsia" w:ascii="仿宋" w:hAnsi="仿宋" w:eastAsia="仿宋" w:cs="仿宋"/>
                <w:color w:val="000000"/>
                <w:kern w:val="0"/>
                <w:sz w:val="21"/>
                <w:szCs w:val="21"/>
                <w:lang w:val="en-US" w:eastAsia="zh-CN" w:bidi="ar"/>
              </w:rPr>
              <w:t>交的最后报价）</w:t>
            </w:r>
          </w:p>
          <w:p w14:paraId="6BD52152">
            <w:pPr>
              <w:jc w:val="left"/>
              <w:rPr>
                <w:rFonts w:hint="eastAsia" w:ascii="仿宋" w:hAnsi="仿宋" w:eastAsia="仿宋" w:cs="仿宋"/>
                <w:color w:val="auto"/>
                <w:sz w:val="21"/>
                <w:szCs w:val="21"/>
                <w:highlight w:val="none"/>
              </w:rPr>
            </w:pPr>
          </w:p>
        </w:tc>
        <w:tc>
          <w:tcPr>
            <w:tcW w:w="718" w:type="dxa"/>
            <w:tcBorders>
              <w:top w:val="outset" w:color="auto" w:sz="6" w:space="0"/>
              <w:left w:val="outset" w:color="auto" w:sz="6" w:space="0"/>
              <w:bottom w:val="outset" w:color="auto" w:sz="6" w:space="0"/>
              <w:right w:val="outset" w:color="auto" w:sz="6" w:space="0"/>
            </w:tcBorders>
            <w:noWrap w:val="0"/>
            <w:vAlign w:val="center"/>
          </w:tcPr>
          <w:p w14:paraId="1AB35CC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30</w:t>
            </w:r>
            <w:r>
              <w:rPr>
                <w:rFonts w:hint="eastAsia" w:ascii="仿宋" w:hAnsi="仿宋" w:eastAsia="仿宋" w:cs="仿宋"/>
                <w:color w:val="auto"/>
                <w:sz w:val="21"/>
                <w:szCs w:val="21"/>
                <w:highlight w:val="none"/>
              </w:rPr>
              <w:t>分</w:t>
            </w:r>
          </w:p>
        </w:tc>
        <w:tc>
          <w:tcPr>
            <w:tcW w:w="7234" w:type="dxa"/>
            <w:tcBorders>
              <w:top w:val="outset" w:color="auto" w:sz="6" w:space="0"/>
              <w:left w:val="outset" w:color="auto" w:sz="6" w:space="0"/>
              <w:bottom w:val="outset" w:color="auto" w:sz="6" w:space="0"/>
              <w:right w:val="outset" w:color="auto" w:sz="6" w:space="0"/>
            </w:tcBorders>
            <w:noWrap w:val="0"/>
            <w:vAlign w:val="center"/>
          </w:tcPr>
          <w:p w14:paraId="56778838">
            <w:pPr>
              <w:keepNext w:val="0"/>
              <w:keepLines w:val="0"/>
              <w:widowControl/>
              <w:suppressLineNumbers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本项评审步骤：</w:t>
            </w:r>
          </w:p>
          <w:p w14:paraId="42B79FA7">
            <w:pPr>
              <w:keepNext w:val="0"/>
              <w:keepLines w:val="0"/>
              <w:widowControl/>
              <w:suppressLineNumbers w:val="0"/>
              <w:jc w:val="left"/>
              <w:rPr>
                <w:rFonts w:hint="default"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1、评标报价的确认：评标报价委员会对所有实质性响应招标文件要求的投标报价进行核查，根据本招标文件规定的政府采购政策进行的价格扣除。</w:t>
            </w:r>
          </w:p>
          <w:p w14:paraId="6604ED96">
            <w:pPr>
              <w:keepNext w:val="0"/>
              <w:keepLines w:val="0"/>
              <w:widowControl/>
              <w:suppressLineNumbers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 xml:space="preserve">1.1 价格核查： 投标文件报价出现前后不一致的，按照下列规定修正： ①投标文件中开标一览表（报价表）内容与投标文件中相应内容不一致的，以开标一览表（报价表）为准； ②大写金额和小写金额不一致的，以大写金额为准； ③单价金额小数点或者百分比有明显错位的，以开标一览表的总价为准，并修改单价； ④总价金额与按单价汇总金额不一致的，以单价金额计算结果为准。 同时出现两种以上不一致的，按照前款规定的顺序修正。修正后的报价按照规定经投标人确认后产生约束力，投标人不确认的，其投标无效。 如供应商对招标文件的内容，特别是对招标范围的理解发生误差，有子项漏报的（即该供应商投标报价为漏项报价），视作已含在其他项目的报价中；如投标人报价多于招标范围的，不予核减； </w:t>
            </w:r>
          </w:p>
          <w:p w14:paraId="761D1C89">
            <w:pPr>
              <w:keepNext w:val="0"/>
              <w:keepLines w:val="0"/>
              <w:widowControl/>
              <w:suppressLineNumbers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1.2 价格扣除：按招标文件规定的价格扣除办法计算其评标价。</w:t>
            </w:r>
          </w:p>
          <w:p w14:paraId="64C0FAE2">
            <w:pPr>
              <w:keepNext w:val="0"/>
              <w:keepLines w:val="0"/>
              <w:widowControl/>
              <w:suppressLineNumbers w:val="0"/>
              <w:jc w:val="left"/>
              <w:rPr>
                <w:rFonts w:hint="eastAsia" w:ascii="仿宋" w:hAnsi="仿宋" w:eastAsia="仿宋" w:cs="仿宋"/>
                <w:b/>
                <w:bCs/>
                <w:color w:val="000000"/>
                <w:kern w:val="0"/>
                <w:sz w:val="21"/>
                <w:szCs w:val="21"/>
                <w:lang w:val="en-US" w:eastAsia="zh-CN" w:bidi="ar"/>
              </w:rPr>
            </w:pPr>
            <w:r>
              <w:rPr>
                <w:rFonts w:hint="eastAsia" w:ascii="仿宋" w:hAnsi="仿宋" w:eastAsia="仿宋" w:cs="仿宋"/>
                <w:b/>
                <w:bCs/>
                <w:color w:val="000000"/>
                <w:kern w:val="0"/>
                <w:sz w:val="21"/>
                <w:szCs w:val="21"/>
                <w:lang w:val="en-US" w:eastAsia="zh-CN" w:bidi="ar"/>
              </w:rPr>
              <w:t>2、评标基准价：评标价均价为评标基准价。</w:t>
            </w:r>
          </w:p>
          <w:p w14:paraId="1AEAAF2C">
            <w:pPr>
              <w:keepNext w:val="0"/>
              <w:keepLines w:val="0"/>
              <w:widowControl/>
              <w:suppressLineNumbers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 xml:space="preserve">3、投标报价得分计算：评标价为评标基准价的得满分30分。其他投标人的投标报价得分统一按下列公式计算：投标报价得分=30-|偏差率| *100*1。 </w:t>
            </w:r>
          </w:p>
          <w:p w14:paraId="24D91E18">
            <w:pPr>
              <w:keepNext w:val="0"/>
              <w:keepLines w:val="0"/>
              <w:widowControl/>
              <w:suppressLineNumbers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偏差率=100%×（投标报价-评标基准价）/评标基准价。</w:t>
            </w:r>
          </w:p>
          <w:p w14:paraId="7F9981D6">
            <w:pPr>
              <w:keepNext w:val="0"/>
              <w:keepLines w:val="0"/>
              <w:widowControl/>
              <w:suppressLineNumbers w:val="0"/>
              <w:jc w:val="left"/>
              <w:rPr>
                <w:rFonts w:hint="eastAsia" w:ascii="仿宋" w:hAnsi="仿宋" w:eastAsia="仿宋" w:cs="仿宋"/>
                <w:color w:val="auto"/>
                <w:sz w:val="21"/>
                <w:szCs w:val="21"/>
                <w:highlight w:val="none"/>
              </w:rPr>
            </w:pPr>
            <w:r>
              <w:rPr>
                <w:rFonts w:hint="eastAsia" w:ascii="仿宋" w:hAnsi="仿宋" w:eastAsia="仿宋" w:cs="仿宋"/>
                <w:color w:val="000000"/>
                <w:kern w:val="0"/>
                <w:sz w:val="21"/>
                <w:szCs w:val="21"/>
                <w:lang w:val="en-US" w:eastAsia="zh-CN" w:bidi="ar"/>
              </w:rPr>
              <w:t>投标报价比评标基准价每提高或降低1%，扣1分，扣完为止。区间内的按线性插入法得分。</w:t>
            </w:r>
          </w:p>
        </w:tc>
      </w:tr>
      <w:tr w14:paraId="7B41CE8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2879" w:hRule="atLeast"/>
        </w:trPr>
        <w:tc>
          <w:tcPr>
            <w:tcW w:w="1589" w:type="dxa"/>
            <w:tcBorders>
              <w:top w:val="outset" w:color="auto" w:sz="6" w:space="0"/>
              <w:left w:val="outset" w:color="auto" w:sz="6" w:space="0"/>
              <w:bottom w:val="outset" w:color="auto" w:sz="6" w:space="0"/>
              <w:right w:val="outset" w:color="auto" w:sz="6" w:space="0"/>
            </w:tcBorders>
            <w:noWrap w:val="0"/>
            <w:vAlign w:val="center"/>
          </w:tcPr>
          <w:p w14:paraId="42E8CDF7">
            <w:pPr>
              <w:jc w:val="center"/>
              <w:rPr>
                <w:rFonts w:hint="eastAsia" w:ascii="仿宋" w:hAnsi="仿宋" w:eastAsia="仿宋" w:cs="仿宋"/>
                <w:color w:val="auto"/>
                <w:sz w:val="21"/>
                <w:szCs w:val="21"/>
                <w:highlight w:val="none"/>
              </w:rPr>
            </w:pPr>
            <w:r>
              <w:rPr>
                <w:rFonts w:ascii="仿宋" w:hAnsi="仿宋" w:eastAsia="仿宋" w:cs="仿宋"/>
                <w:color w:val="000000"/>
                <w:kern w:val="0"/>
                <w:sz w:val="20"/>
                <w:szCs w:val="20"/>
                <w:lang w:val="en-US" w:eastAsia="zh-CN" w:bidi="ar"/>
              </w:rPr>
              <w:t>供应商业绩</w:t>
            </w:r>
          </w:p>
        </w:tc>
        <w:tc>
          <w:tcPr>
            <w:tcW w:w="718" w:type="dxa"/>
            <w:tcBorders>
              <w:top w:val="outset" w:color="auto" w:sz="6" w:space="0"/>
              <w:left w:val="outset" w:color="auto" w:sz="6" w:space="0"/>
              <w:bottom w:val="outset" w:color="auto" w:sz="6" w:space="0"/>
              <w:right w:val="outset" w:color="auto" w:sz="6" w:space="0"/>
            </w:tcBorders>
            <w:noWrap w:val="0"/>
            <w:vAlign w:val="center"/>
          </w:tcPr>
          <w:p w14:paraId="1EEFC24F">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10分</w:t>
            </w:r>
          </w:p>
        </w:tc>
        <w:tc>
          <w:tcPr>
            <w:tcW w:w="7234" w:type="dxa"/>
            <w:tcBorders>
              <w:top w:val="outset" w:color="auto" w:sz="6" w:space="0"/>
              <w:left w:val="outset" w:color="auto" w:sz="6" w:space="0"/>
              <w:bottom w:val="outset" w:color="auto" w:sz="6" w:space="0"/>
              <w:right w:val="outset" w:color="auto" w:sz="6" w:space="0"/>
            </w:tcBorders>
            <w:noWrap w:val="0"/>
            <w:vAlign w:val="center"/>
          </w:tcPr>
          <w:p w14:paraId="2631FF2C">
            <w:pPr>
              <w:keepNext w:val="0"/>
              <w:keepLines w:val="0"/>
              <w:widowControl/>
              <w:suppressLineNumbers w:val="0"/>
              <w:jc w:val="left"/>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xml:space="preserve">供应商具备类似项目业绩的，提供业绩合同，有一项加 </w:t>
            </w:r>
            <w:r>
              <w:rPr>
                <w:rFonts w:hint="eastAsia" w:ascii="仿宋" w:hAnsi="仿宋" w:eastAsia="仿宋" w:cs="仿宋"/>
                <w:color w:val="000000"/>
                <w:kern w:val="0"/>
                <w:sz w:val="21"/>
                <w:szCs w:val="21"/>
                <w:highlight w:val="none"/>
                <w:u w:val="single"/>
                <w:lang w:val="en-US" w:eastAsia="zh-CN" w:bidi="ar"/>
              </w:rPr>
              <w:t>2</w:t>
            </w:r>
            <w:r>
              <w:rPr>
                <w:rFonts w:hint="eastAsia" w:ascii="仿宋" w:hAnsi="仿宋" w:eastAsia="仿宋" w:cs="仿宋"/>
                <w:color w:val="000000"/>
                <w:kern w:val="0"/>
                <w:sz w:val="21"/>
                <w:szCs w:val="21"/>
                <w:highlight w:val="none"/>
                <w:lang w:val="en-US" w:eastAsia="zh-CN" w:bidi="ar"/>
              </w:rPr>
              <w:t>分，本项加满为止。</w:t>
            </w:r>
          </w:p>
          <w:p w14:paraId="25945F13">
            <w:pPr>
              <w:keepNext w:val="0"/>
              <w:keepLines w:val="0"/>
              <w:widowControl/>
              <w:suppressLineNumbers w:val="0"/>
              <w:jc w:val="left"/>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类似项目业绩指：装饰工程设计项目（合同金额5万元及以上）。</w:t>
            </w:r>
          </w:p>
          <w:p w14:paraId="2868E52E">
            <w:pPr>
              <w:keepNext w:val="0"/>
              <w:keepLines w:val="0"/>
              <w:widowControl/>
              <w:suppressLineNumbers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highlight w:val="none"/>
                <w:lang w:val="en-US" w:eastAsia="zh-CN" w:bidi="ar"/>
              </w:rPr>
              <w:t>（响应文件中须提供业绩合同，扫描件应能辨识买卖双方公章或合同章、标的信息；如业绩合同不能体现以上全部内容，可提供</w:t>
            </w:r>
            <w:bookmarkStart w:id="0" w:name="_GoBack"/>
            <w:bookmarkEnd w:id="0"/>
            <w:r>
              <w:rPr>
                <w:rFonts w:hint="eastAsia" w:ascii="仿宋" w:hAnsi="仿宋" w:eastAsia="仿宋" w:cs="仿宋"/>
                <w:color w:val="000000"/>
                <w:kern w:val="0"/>
                <w:sz w:val="21"/>
                <w:szCs w:val="21"/>
                <w:highlight w:val="none"/>
                <w:lang w:val="en-US" w:eastAsia="zh-CN" w:bidi="ar"/>
              </w:rPr>
              <w:t>业绩合同甲方盖公章的证明扫描件。否则，不得分。供应商与其关联公司（单位负责人为同一人或者存在直接控股、管理关系的不同供应商）之间签订的合同，均不予认可。）</w:t>
            </w:r>
          </w:p>
        </w:tc>
      </w:tr>
    </w:tbl>
    <w:p w14:paraId="388DC9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2.2技术标评审内容及标准（</w:t>
      </w:r>
      <w:r>
        <w:rPr>
          <w:rFonts w:hint="eastAsia" w:ascii="仿宋" w:hAnsi="仿宋" w:eastAsia="仿宋" w:cs="仿宋"/>
          <w:color w:val="auto"/>
          <w:sz w:val="24"/>
          <w:highlight w:val="none"/>
          <w:lang w:val="en-US" w:eastAsia="zh-CN"/>
        </w:rPr>
        <w:t>60</w:t>
      </w:r>
      <w:r>
        <w:rPr>
          <w:rFonts w:hint="eastAsia" w:ascii="仿宋" w:hAnsi="仿宋" w:eastAsia="仿宋" w:cs="仿宋"/>
          <w:color w:val="auto"/>
          <w:sz w:val="24"/>
          <w:highlight w:val="none"/>
        </w:rPr>
        <w:t>分）</w:t>
      </w:r>
    </w:p>
    <w:tbl>
      <w:tblPr>
        <w:tblStyle w:val="5"/>
        <w:tblW w:w="957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8"/>
        <w:gridCol w:w="744"/>
        <w:gridCol w:w="7260"/>
      </w:tblGrid>
      <w:tr w14:paraId="2FCCA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1568" w:type="dxa"/>
            <w:noWrap w:val="0"/>
            <w:vAlign w:val="center"/>
          </w:tcPr>
          <w:p w14:paraId="79A31DF0">
            <w:pPr>
              <w:pStyle w:val="4"/>
              <w:autoSpaceDE w:val="0"/>
              <w:autoSpaceDN w:val="0"/>
              <w:spacing w:before="55" w:line="231" w:lineRule="auto"/>
              <w:ind w:left="122"/>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评审项目</w:t>
            </w:r>
          </w:p>
        </w:tc>
        <w:tc>
          <w:tcPr>
            <w:tcW w:w="744" w:type="dxa"/>
            <w:noWrap w:val="0"/>
            <w:vAlign w:val="center"/>
          </w:tcPr>
          <w:p w14:paraId="1B2402AF">
            <w:pPr>
              <w:pStyle w:val="4"/>
              <w:autoSpaceDE w:val="0"/>
              <w:autoSpaceDN w:val="0"/>
              <w:spacing w:before="54" w:line="232" w:lineRule="auto"/>
              <w:ind w:left="67"/>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分值</w:t>
            </w:r>
          </w:p>
        </w:tc>
        <w:tc>
          <w:tcPr>
            <w:tcW w:w="7260" w:type="dxa"/>
            <w:noWrap w:val="0"/>
            <w:vAlign w:val="center"/>
          </w:tcPr>
          <w:p w14:paraId="07A1445B">
            <w:pPr>
              <w:pStyle w:val="4"/>
              <w:autoSpaceDE w:val="0"/>
              <w:autoSpaceDN w:val="0"/>
              <w:spacing w:before="55" w:line="231" w:lineRule="auto"/>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依据</w:t>
            </w:r>
          </w:p>
        </w:tc>
      </w:tr>
      <w:tr w14:paraId="61C57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2" w:hRule="atLeast"/>
        </w:trPr>
        <w:tc>
          <w:tcPr>
            <w:tcW w:w="1568" w:type="dxa"/>
            <w:tcBorders>
              <w:bottom w:val="nil"/>
            </w:tcBorders>
            <w:noWrap w:val="0"/>
            <w:vAlign w:val="center"/>
          </w:tcPr>
          <w:p w14:paraId="2168D3F2">
            <w:pPr>
              <w:keepNext w:val="0"/>
              <w:keepLines w:val="0"/>
              <w:widowControl/>
              <w:suppressLineNumbers w:val="0"/>
              <w:autoSpaceDE w:val="0"/>
              <w:autoSpaceDN w:val="0"/>
              <w:jc w:val="center"/>
              <w:rPr>
                <w:rFonts w:hint="default"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设计方案</w:t>
            </w:r>
          </w:p>
        </w:tc>
        <w:tc>
          <w:tcPr>
            <w:tcW w:w="744" w:type="dxa"/>
            <w:tcBorders>
              <w:bottom w:val="nil"/>
            </w:tcBorders>
            <w:noWrap w:val="0"/>
            <w:vAlign w:val="center"/>
          </w:tcPr>
          <w:p w14:paraId="7C42A807">
            <w:pPr>
              <w:keepNext w:val="0"/>
              <w:keepLines w:val="0"/>
              <w:widowControl/>
              <w:suppressLineNumbers w:val="0"/>
              <w:autoSpaceDE w:val="0"/>
              <w:autoSpaceDN w:val="0"/>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30分</w:t>
            </w:r>
          </w:p>
        </w:tc>
        <w:tc>
          <w:tcPr>
            <w:tcW w:w="7260" w:type="dxa"/>
            <w:noWrap w:val="0"/>
            <w:vAlign w:val="top"/>
          </w:tcPr>
          <w:p w14:paraId="1545EAB9">
            <w:pPr>
              <w:keepNext w:val="0"/>
              <w:keepLines w:val="0"/>
              <w:widowControl/>
              <w:suppressLineNumbers w:val="0"/>
              <w:autoSpaceDE w:val="0"/>
              <w:autoSpaceDN w:val="0"/>
              <w:jc w:val="left"/>
              <w:rPr>
                <w:rFonts w:hint="eastAsia" w:ascii="仿宋" w:hAnsi="仿宋" w:eastAsia="仿宋" w:cs="仿宋"/>
                <w:b/>
                <w:bCs/>
                <w:color w:val="000000"/>
                <w:kern w:val="0"/>
                <w:sz w:val="21"/>
                <w:szCs w:val="21"/>
                <w:lang w:val="en-US" w:eastAsia="zh-CN" w:bidi="ar"/>
              </w:rPr>
            </w:pPr>
            <w:r>
              <w:rPr>
                <w:rFonts w:hint="eastAsia" w:ascii="仿宋" w:hAnsi="仿宋" w:eastAsia="仿宋" w:cs="仿宋"/>
                <w:b/>
                <w:bCs/>
                <w:color w:val="000000"/>
                <w:kern w:val="0"/>
                <w:sz w:val="21"/>
                <w:szCs w:val="21"/>
                <w:lang w:val="en-US" w:eastAsia="zh-CN" w:bidi="ar"/>
              </w:rPr>
              <w:t>阐述对项目方案设计方案及效果图呈现。</w:t>
            </w:r>
          </w:p>
          <w:p w14:paraId="53DC9930">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（1）设计方案全面、完整、有针对性得 21</w:t>
            </w:r>
            <w:r>
              <w:rPr>
                <w:rFonts w:ascii="仿宋" w:hAnsi="仿宋" w:eastAsia="仿宋" w:cs="仿宋"/>
                <w:color w:val="000000"/>
                <w:kern w:val="0"/>
                <w:sz w:val="21"/>
                <w:szCs w:val="21"/>
                <w:lang w:val="en-US" w:eastAsia="zh-CN" w:bidi="ar"/>
              </w:rPr>
              <w:t>～</w:t>
            </w:r>
            <w:r>
              <w:rPr>
                <w:rFonts w:hint="eastAsia" w:ascii="仿宋" w:hAnsi="仿宋" w:eastAsia="仿宋" w:cs="仿宋"/>
                <w:color w:val="000000"/>
                <w:kern w:val="0"/>
                <w:sz w:val="21"/>
                <w:szCs w:val="21"/>
                <w:lang w:val="en-US" w:eastAsia="zh-CN" w:bidi="ar"/>
              </w:rPr>
              <w:t>30 分；</w:t>
            </w:r>
          </w:p>
          <w:p w14:paraId="64C4272C">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（2）设计方案较全面、较完整、较有针对性得 11</w:t>
            </w:r>
            <w:r>
              <w:rPr>
                <w:rFonts w:ascii="仿宋" w:hAnsi="仿宋" w:eastAsia="仿宋" w:cs="仿宋"/>
                <w:color w:val="000000"/>
                <w:kern w:val="0"/>
                <w:sz w:val="21"/>
                <w:szCs w:val="21"/>
                <w:lang w:val="en-US" w:eastAsia="zh-CN" w:bidi="ar"/>
              </w:rPr>
              <w:t>～</w:t>
            </w:r>
            <w:r>
              <w:rPr>
                <w:rFonts w:hint="eastAsia" w:ascii="仿宋" w:hAnsi="仿宋" w:eastAsia="仿宋" w:cs="仿宋"/>
                <w:color w:val="000000"/>
                <w:kern w:val="0"/>
                <w:sz w:val="21"/>
                <w:szCs w:val="21"/>
                <w:lang w:val="en-US" w:eastAsia="zh-CN" w:bidi="ar"/>
              </w:rPr>
              <w:t>20 分；</w:t>
            </w:r>
          </w:p>
          <w:p w14:paraId="33AD64EC">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（3）设计方案基本全面、基本完整、合理得 1</w:t>
            </w:r>
            <w:r>
              <w:rPr>
                <w:rFonts w:ascii="仿宋" w:hAnsi="仿宋" w:eastAsia="仿宋" w:cs="仿宋"/>
                <w:color w:val="000000"/>
                <w:kern w:val="0"/>
                <w:sz w:val="21"/>
                <w:szCs w:val="21"/>
                <w:lang w:val="en-US" w:eastAsia="zh-CN" w:bidi="ar"/>
              </w:rPr>
              <w:t>～</w:t>
            </w:r>
            <w:r>
              <w:rPr>
                <w:rFonts w:hint="eastAsia" w:ascii="仿宋" w:hAnsi="仿宋" w:eastAsia="仿宋" w:cs="仿宋"/>
                <w:color w:val="000000"/>
                <w:kern w:val="0"/>
                <w:sz w:val="21"/>
                <w:szCs w:val="21"/>
                <w:lang w:val="en-US" w:eastAsia="zh-CN" w:bidi="ar"/>
              </w:rPr>
              <w:t>10 分。</w:t>
            </w:r>
          </w:p>
          <w:p w14:paraId="1CDF013A">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（4）未提供不得分。</w:t>
            </w:r>
          </w:p>
        </w:tc>
      </w:tr>
      <w:tr w14:paraId="44CBE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7" w:hRule="atLeast"/>
        </w:trPr>
        <w:tc>
          <w:tcPr>
            <w:tcW w:w="1568" w:type="dxa"/>
            <w:tcBorders>
              <w:top w:val="single" w:color="auto" w:sz="4" w:space="0"/>
              <w:left w:val="single" w:color="auto" w:sz="4" w:space="0"/>
              <w:bottom w:val="single" w:color="auto" w:sz="4" w:space="0"/>
              <w:right w:val="single" w:color="auto" w:sz="4" w:space="0"/>
            </w:tcBorders>
            <w:noWrap w:val="0"/>
            <w:vAlign w:val="center"/>
          </w:tcPr>
          <w:p w14:paraId="6D1B64D6">
            <w:pPr>
              <w:keepNext w:val="0"/>
              <w:keepLines w:val="0"/>
              <w:widowControl/>
              <w:suppressLineNumbers w:val="0"/>
              <w:autoSpaceDE w:val="0"/>
              <w:autoSpaceDN w:val="0"/>
              <w:jc w:val="center"/>
              <w:rPr>
                <w:rFonts w:hint="default"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效果图形式设计</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5238B7CB">
            <w:pPr>
              <w:keepNext w:val="0"/>
              <w:keepLines w:val="0"/>
              <w:widowControl/>
              <w:suppressLineNumbers w:val="0"/>
              <w:autoSpaceDE w:val="0"/>
              <w:autoSpaceDN w:val="0"/>
              <w:jc w:val="center"/>
              <w:rPr>
                <w:sz w:val="21"/>
                <w:szCs w:val="21"/>
              </w:rPr>
            </w:pPr>
            <w:r>
              <w:rPr>
                <w:rFonts w:hint="eastAsia" w:ascii="仿宋" w:hAnsi="仿宋" w:eastAsia="仿宋" w:cs="仿宋"/>
                <w:color w:val="000000"/>
                <w:kern w:val="0"/>
                <w:sz w:val="21"/>
                <w:szCs w:val="21"/>
                <w:lang w:val="en-US" w:eastAsia="zh-CN" w:bidi="ar"/>
              </w:rPr>
              <w:t>20</w:t>
            </w:r>
            <w:r>
              <w:rPr>
                <w:rFonts w:ascii="仿宋" w:hAnsi="仿宋" w:eastAsia="仿宋" w:cs="仿宋"/>
                <w:color w:val="000000"/>
                <w:kern w:val="0"/>
                <w:sz w:val="21"/>
                <w:szCs w:val="21"/>
                <w:lang w:val="en-US" w:eastAsia="zh-CN" w:bidi="ar"/>
              </w:rPr>
              <w:t>分</w:t>
            </w:r>
          </w:p>
          <w:p w14:paraId="7561CE5F">
            <w:pPr>
              <w:keepNext w:val="0"/>
              <w:keepLines w:val="0"/>
              <w:widowControl/>
              <w:suppressLineNumbers w:val="0"/>
              <w:autoSpaceDE w:val="0"/>
              <w:autoSpaceDN w:val="0"/>
              <w:jc w:val="center"/>
              <w:rPr>
                <w:rFonts w:hint="eastAsia" w:ascii="仿宋" w:hAnsi="仿宋" w:eastAsia="仿宋" w:cs="仿宋"/>
                <w:color w:val="000000"/>
                <w:kern w:val="0"/>
                <w:sz w:val="21"/>
                <w:szCs w:val="21"/>
                <w:lang w:val="en-US" w:eastAsia="zh-CN" w:bidi="ar"/>
              </w:rPr>
            </w:pPr>
          </w:p>
        </w:tc>
        <w:tc>
          <w:tcPr>
            <w:tcW w:w="7260" w:type="dxa"/>
            <w:tcBorders>
              <w:top w:val="single" w:color="auto" w:sz="4" w:space="0"/>
              <w:left w:val="single" w:color="auto" w:sz="4" w:space="0"/>
              <w:bottom w:val="single" w:color="auto" w:sz="4" w:space="0"/>
              <w:right w:val="single" w:color="auto" w:sz="4" w:space="0"/>
            </w:tcBorders>
            <w:noWrap w:val="0"/>
            <w:vAlign w:val="top"/>
          </w:tcPr>
          <w:p w14:paraId="7714E4A5">
            <w:pPr>
              <w:keepNext w:val="0"/>
              <w:keepLines w:val="0"/>
              <w:widowControl/>
              <w:suppressLineNumbers w:val="0"/>
              <w:autoSpaceDE w:val="0"/>
              <w:autoSpaceDN w:val="0"/>
              <w:jc w:val="left"/>
              <w:rPr>
                <w:rFonts w:ascii="仿宋" w:hAnsi="仿宋" w:eastAsia="仿宋" w:cs="仿宋"/>
                <w:b/>
                <w:bCs/>
                <w:color w:val="000000"/>
                <w:kern w:val="0"/>
                <w:sz w:val="21"/>
                <w:szCs w:val="21"/>
                <w:lang w:val="en-US" w:eastAsia="zh-CN" w:bidi="ar"/>
              </w:rPr>
            </w:pPr>
            <w:r>
              <w:rPr>
                <w:rFonts w:hint="eastAsia" w:ascii="仿宋" w:hAnsi="仿宋" w:eastAsia="仿宋" w:cs="仿宋"/>
                <w:b/>
                <w:bCs/>
                <w:color w:val="000000"/>
                <w:kern w:val="0"/>
                <w:sz w:val="21"/>
                <w:szCs w:val="21"/>
                <w:lang w:val="en-US" w:eastAsia="zh-CN" w:bidi="ar"/>
              </w:rPr>
              <w:t>阐述对项目效果图的形式设计。</w:t>
            </w:r>
          </w:p>
          <w:p w14:paraId="0D9E6992">
            <w:pPr>
              <w:keepNext w:val="0"/>
              <w:keepLines w:val="0"/>
              <w:widowControl/>
              <w:suppressLineNumbers w:val="0"/>
              <w:autoSpaceDE w:val="0"/>
              <w:autoSpaceDN w:val="0"/>
              <w:jc w:val="left"/>
              <w:rPr>
                <w:rFonts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（1）设计风格统一、颜色搭配协调、设计立意新颖</w:t>
            </w:r>
            <w:r>
              <w:rPr>
                <w:rFonts w:ascii="仿宋" w:hAnsi="仿宋" w:eastAsia="仿宋" w:cs="仿宋"/>
                <w:color w:val="000000"/>
                <w:kern w:val="0"/>
                <w:sz w:val="21"/>
                <w:szCs w:val="21"/>
                <w:lang w:val="en-US" w:eastAsia="zh-CN" w:bidi="ar"/>
              </w:rPr>
              <w:t xml:space="preserve">得 </w:t>
            </w:r>
            <w:r>
              <w:rPr>
                <w:rFonts w:hint="eastAsia" w:ascii="仿宋" w:hAnsi="仿宋" w:eastAsia="仿宋" w:cs="仿宋"/>
                <w:color w:val="000000"/>
                <w:kern w:val="0"/>
                <w:sz w:val="21"/>
                <w:szCs w:val="21"/>
                <w:lang w:val="en-US" w:eastAsia="zh-CN" w:bidi="ar"/>
              </w:rPr>
              <w:t>15</w:t>
            </w:r>
            <w:r>
              <w:rPr>
                <w:rFonts w:ascii="仿宋" w:hAnsi="仿宋" w:eastAsia="仿宋" w:cs="仿宋"/>
                <w:color w:val="000000"/>
                <w:kern w:val="0"/>
                <w:sz w:val="21"/>
                <w:szCs w:val="21"/>
                <w:lang w:val="en-US" w:eastAsia="zh-CN" w:bidi="ar"/>
              </w:rPr>
              <w:t>～</w:t>
            </w:r>
            <w:r>
              <w:rPr>
                <w:rFonts w:hint="eastAsia" w:ascii="仿宋" w:hAnsi="仿宋" w:eastAsia="仿宋" w:cs="仿宋"/>
                <w:color w:val="000000"/>
                <w:kern w:val="0"/>
                <w:sz w:val="21"/>
                <w:szCs w:val="21"/>
                <w:lang w:val="en-US" w:eastAsia="zh-CN" w:bidi="ar"/>
              </w:rPr>
              <w:t>20</w:t>
            </w:r>
            <w:r>
              <w:rPr>
                <w:rFonts w:ascii="仿宋" w:hAnsi="仿宋" w:eastAsia="仿宋" w:cs="仿宋"/>
                <w:color w:val="000000"/>
                <w:kern w:val="0"/>
                <w:sz w:val="21"/>
                <w:szCs w:val="21"/>
                <w:lang w:val="en-US" w:eastAsia="zh-CN" w:bidi="ar"/>
              </w:rPr>
              <w:t xml:space="preserve"> 分；</w:t>
            </w:r>
          </w:p>
          <w:p w14:paraId="6C0B160A">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（2）设计风格较统一、颜色搭配较协调、设计立意较新颖得 10～14分；</w:t>
            </w:r>
          </w:p>
          <w:p w14:paraId="56D43B01">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（3）设计风格合理、颜色搭配合理、设计立意合理得 1～9分；</w:t>
            </w:r>
          </w:p>
          <w:p w14:paraId="191B695E">
            <w:pPr>
              <w:keepNext w:val="0"/>
              <w:keepLines w:val="0"/>
              <w:widowControl/>
              <w:suppressLineNumbers w:val="0"/>
              <w:autoSpaceDE w:val="0"/>
              <w:autoSpaceDN w:val="0"/>
              <w:jc w:val="left"/>
              <w:rPr>
                <w:sz w:val="21"/>
                <w:szCs w:val="21"/>
              </w:rPr>
            </w:pPr>
            <w:r>
              <w:rPr>
                <w:rFonts w:hint="eastAsia" w:ascii="仿宋" w:hAnsi="仿宋" w:eastAsia="仿宋" w:cs="仿宋"/>
                <w:color w:val="000000"/>
                <w:kern w:val="0"/>
                <w:sz w:val="21"/>
                <w:szCs w:val="21"/>
                <w:lang w:val="en-US" w:eastAsia="zh-CN" w:bidi="ar"/>
              </w:rPr>
              <w:t>（4）未提供不得分。</w:t>
            </w:r>
          </w:p>
          <w:p w14:paraId="0CDBF194">
            <w:pPr>
              <w:keepNext w:val="0"/>
              <w:keepLines w:val="0"/>
              <w:widowControl/>
              <w:suppressLineNumbers w:val="0"/>
              <w:autoSpaceDE w:val="0"/>
              <w:autoSpaceDN w:val="0"/>
              <w:jc w:val="center"/>
              <w:rPr>
                <w:rFonts w:hint="eastAsia" w:ascii="仿宋" w:hAnsi="仿宋" w:eastAsia="仿宋" w:cs="仿宋"/>
                <w:color w:val="000000"/>
                <w:kern w:val="0"/>
                <w:sz w:val="21"/>
                <w:szCs w:val="21"/>
                <w:lang w:val="en-US" w:eastAsia="zh-CN" w:bidi="ar"/>
              </w:rPr>
            </w:pPr>
          </w:p>
        </w:tc>
      </w:tr>
      <w:tr w14:paraId="7FF99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7" w:hRule="atLeast"/>
        </w:trPr>
        <w:tc>
          <w:tcPr>
            <w:tcW w:w="1568" w:type="dxa"/>
            <w:tcBorders>
              <w:top w:val="single" w:color="auto" w:sz="4" w:space="0"/>
              <w:left w:val="single" w:color="auto" w:sz="4" w:space="0"/>
              <w:bottom w:val="single" w:color="auto" w:sz="4" w:space="0"/>
              <w:right w:val="single" w:color="auto" w:sz="4" w:space="0"/>
            </w:tcBorders>
            <w:noWrap w:val="0"/>
            <w:vAlign w:val="center"/>
          </w:tcPr>
          <w:p w14:paraId="68A23AE7">
            <w:pPr>
              <w:keepNext w:val="0"/>
              <w:keepLines w:val="0"/>
              <w:widowControl/>
              <w:suppressLineNumbers w:val="0"/>
              <w:autoSpaceDE w:val="0"/>
              <w:autoSpaceDN w:val="0"/>
              <w:jc w:val="center"/>
              <w:rPr>
                <w:rFonts w:hint="default"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效果图功能设计</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31B6A420">
            <w:pPr>
              <w:keepNext w:val="0"/>
              <w:keepLines w:val="0"/>
              <w:widowControl/>
              <w:suppressLineNumbers w:val="0"/>
              <w:autoSpaceDE w:val="0"/>
              <w:autoSpaceDN w:val="0"/>
              <w:jc w:val="center"/>
              <w:rPr>
                <w:rFonts w:hint="default"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10分</w:t>
            </w:r>
          </w:p>
        </w:tc>
        <w:tc>
          <w:tcPr>
            <w:tcW w:w="7260" w:type="dxa"/>
            <w:tcBorders>
              <w:top w:val="single" w:color="auto" w:sz="4" w:space="0"/>
              <w:left w:val="single" w:color="auto" w:sz="4" w:space="0"/>
              <w:bottom w:val="single" w:color="auto" w:sz="4" w:space="0"/>
              <w:right w:val="single" w:color="auto" w:sz="4" w:space="0"/>
            </w:tcBorders>
            <w:noWrap w:val="0"/>
            <w:vAlign w:val="top"/>
          </w:tcPr>
          <w:p w14:paraId="03BE0229">
            <w:pPr>
              <w:keepNext w:val="0"/>
              <w:keepLines w:val="0"/>
              <w:widowControl/>
              <w:suppressLineNumbers w:val="0"/>
              <w:autoSpaceDE w:val="0"/>
              <w:autoSpaceDN w:val="0"/>
              <w:jc w:val="left"/>
              <w:rPr>
                <w:rFonts w:ascii="仿宋" w:hAnsi="仿宋" w:eastAsia="仿宋" w:cs="仿宋"/>
                <w:color w:val="000000"/>
                <w:kern w:val="0"/>
                <w:sz w:val="21"/>
                <w:szCs w:val="21"/>
                <w:lang w:val="en-US" w:eastAsia="zh-CN" w:bidi="ar"/>
              </w:rPr>
            </w:pPr>
            <w:r>
              <w:rPr>
                <w:rFonts w:hint="eastAsia" w:ascii="仿宋" w:hAnsi="仿宋" w:eastAsia="仿宋" w:cs="仿宋"/>
                <w:b/>
                <w:bCs/>
                <w:color w:val="000000"/>
                <w:kern w:val="0"/>
                <w:sz w:val="21"/>
                <w:szCs w:val="21"/>
                <w:lang w:val="en-US" w:eastAsia="zh-CN" w:bidi="ar"/>
              </w:rPr>
              <w:t>阐述对项目效果图的功能设计。</w:t>
            </w:r>
          </w:p>
          <w:p w14:paraId="5C682CEA">
            <w:pPr>
              <w:keepNext w:val="0"/>
              <w:keepLines w:val="0"/>
              <w:widowControl/>
              <w:suppressLineNumbers w:val="0"/>
              <w:autoSpaceDE w:val="0"/>
              <w:autoSpaceDN w:val="0"/>
              <w:jc w:val="left"/>
              <w:rPr>
                <w:rFonts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（1）空间布局完美、利用率高、符合人性化</w:t>
            </w:r>
            <w:r>
              <w:rPr>
                <w:rFonts w:ascii="仿宋" w:hAnsi="仿宋" w:eastAsia="仿宋" w:cs="仿宋"/>
                <w:color w:val="000000"/>
                <w:kern w:val="0"/>
                <w:sz w:val="21"/>
                <w:szCs w:val="21"/>
                <w:lang w:val="en-US" w:eastAsia="zh-CN" w:bidi="ar"/>
              </w:rPr>
              <w:t xml:space="preserve">得 </w:t>
            </w:r>
            <w:r>
              <w:rPr>
                <w:rFonts w:hint="eastAsia" w:ascii="仿宋" w:hAnsi="仿宋" w:eastAsia="仿宋" w:cs="仿宋"/>
                <w:color w:val="000000"/>
                <w:kern w:val="0"/>
                <w:sz w:val="21"/>
                <w:szCs w:val="21"/>
                <w:lang w:val="en-US" w:eastAsia="zh-CN" w:bidi="ar"/>
              </w:rPr>
              <w:t>7</w:t>
            </w:r>
            <w:r>
              <w:rPr>
                <w:rFonts w:ascii="仿宋" w:hAnsi="仿宋" w:eastAsia="仿宋" w:cs="仿宋"/>
                <w:color w:val="000000"/>
                <w:kern w:val="0"/>
                <w:sz w:val="21"/>
                <w:szCs w:val="21"/>
                <w:lang w:val="en-US" w:eastAsia="zh-CN" w:bidi="ar"/>
              </w:rPr>
              <w:t>～</w:t>
            </w:r>
            <w:r>
              <w:rPr>
                <w:rFonts w:hint="eastAsia" w:ascii="仿宋" w:hAnsi="仿宋" w:eastAsia="仿宋" w:cs="仿宋"/>
                <w:color w:val="000000"/>
                <w:kern w:val="0"/>
                <w:sz w:val="21"/>
                <w:szCs w:val="21"/>
                <w:lang w:val="en-US" w:eastAsia="zh-CN" w:bidi="ar"/>
              </w:rPr>
              <w:t>10</w:t>
            </w:r>
            <w:r>
              <w:rPr>
                <w:rFonts w:ascii="仿宋" w:hAnsi="仿宋" w:eastAsia="仿宋" w:cs="仿宋"/>
                <w:color w:val="000000"/>
                <w:kern w:val="0"/>
                <w:sz w:val="21"/>
                <w:szCs w:val="21"/>
                <w:lang w:val="en-US" w:eastAsia="zh-CN" w:bidi="ar"/>
              </w:rPr>
              <w:t xml:space="preserve"> 分；</w:t>
            </w:r>
          </w:p>
          <w:p w14:paraId="51EB6062">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（2）空间布局较完美、利用率较高、较符合人性化得 3～6分；</w:t>
            </w:r>
          </w:p>
          <w:p w14:paraId="125B8DE8">
            <w:pPr>
              <w:keepNext w:val="0"/>
              <w:keepLines w:val="0"/>
              <w:widowControl/>
              <w:suppressLineNumbers w:val="0"/>
              <w:autoSpaceDE w:val="0"/>
              <w:autoSpaceDN w:val="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（3）空间布局合理、利用率合理、人性化合理得 1～2分。</w:t>
            </w:r>
          </w:p>
          <w:p w14:paraId="354207A8">
            <w:pPr>
              <w:keepNext w:val="0"/>
              <w:keepLines w:val="0"/>
              <w:widowControl/>
              <w:suppressLineNumbers w:val="0"/>
              <w:autoSpaceDE w:val="0"/>
              <w:autoSpaceDN w:val="0"/>
              <w:jc w:val="left"/>
              <w:rPr>
                <w:sz w:val="21"/>
                <w:szCs w:val="21"/>
              </w:rPr>
            </w:pPr>
            <w:r>
              <w:rPr>
                <w:rFonts w:hint="eastAsia" w:ascii="仿宋" w:hAnsi="仿宋" w:eastAsia="仿宋" w:cs="仿宋"/>
                <w:color w:val="000000"/>
                <w:kern w:val="0"/>
                <w:sz w:val="21"/>
                <w:szCs w:val="21"/>
                <w:lang w:val="en-US" w:eastAsia="zh-CN" w:bidi="ar"/>
              </w:rPr>
              <w:t>（4）未提供不得分。</w:t>
            </w:r>
          </w:p>
          <w:p w14:paraId="58067D45">
            <w:pPr>
              <w:keepNext w:val="0"/>
              <w:keepLines w:val="0"/>
              <w:widowControl/>
              <w:suppressLineNumbers w:val="0"/>
              <w:autoSpaceDE w:val="0"/>
              <w:autoSpaceDN w:val="0"/>
              <w:jc w:val="center"/>
              <w:rPr>
                <w:rFonts w:hint="eastAsia" w:ascii="仿宋" w:hAnsi="仿宋" w:eastAsia="仿宋" w:cs="仿宋"/>
                <w:color w:val="000000"/>
                <w:kern w:val="0"/>
                <w:sz w:val="21"/>
                <w:szCs w:val="21"/>
                <w:lang w:val="en-US" w:eastAsia="zh-CN" w:bidi="ar"/>
              </w:rPr>
            </w:pPr>
          </w:p>
        </w:tc>
      </w:tr>
    </w:tbl>
    <w:p w14:paraId="00BBAB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7910479"/>
    <w:rsid w:val="00BC6358"/>
    <w:rsid w:val="16782586"/>
    <w:rsid w:val="19B9666B"/>
    <w:rsid w:val="221072CF"/>
    <w:rsid w:val="275C1EB0"/>
    <w:rsid w:val="2BA66860"/>
    <w:rsid w:val="2C803946"/>
    <w:rsid w:val="2CF20C6C"/>
    <w:rsid w:val="39DB5DBE"/>
    <w:rsid w:val="3F5F776B"/>
    <w:rsid w:val="44F1532A"/>
    <w:rsid w:val="4BF348D1"/>
    <w:rsid w:val="56E10C5F"/>
    <w:rsid w:val="57910479"/>
    <w:rsid w:val="5C6037C2"/>
    <w:rsid w:val="5CE223F5"/>
    <w:rsid w:val="6041313D"/>
    <w:rsid w:val="6A0E32C2"/>
    <w:rsid w:val="782C28A7"/>
    <w:rsid w:val="7836450F"/>
    <w:rsid w:val="79C81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Text"/>
    <w:basedOn w:val="1"/>
    <w:semiHidden/>
    <w:qFormat/>
    <w:uiPriority w:val="0"/>
    <w:rPr>
      <w:rFonts w:ascii="仿宋" w:hAnsi="仿宋" w:eastAsia="仿宋" w:cs="仿宋"/>
      <w:sz w:val="24"/>
      <w:szCs w:val="24"/>
      <w:lang w:val="en-US" w:eastAsia="en-US" w:bidi="ar-SA"/>
    </w:rPr>
  </w:style>
  <w:style w:type="table" w:customStyle="1" w:styleId="5">
    <w:name w:val="Table Normal"/>
    <w:autoRedefine/>
    <w:unhideWhenUsed/>
    <w:qFormat/>
    <w:uiPriority w:val="2"/>
    <w:pPr>
      <w:widowControl w:val="0"/>
      <w:autoSpaceDE w:val="0"/>
      <w:autoSpaceDN w:val="0"/>
    </w:pPr>
    <w:rPr>
      <w:sz w:val="22"/>
      <w:szCs w:val="22"/>
      <w:lang w:val="en-US" w:eastAsia="en-US"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1224</Words>
  <Characters>1272</Characters>
  <Lines>0</Lines>
  <Paragraphs>0</Paragraphs>
  <TotalTime>17</TotalTime>
  <ScaleCrop>false</ScaleCrop>
  <LinksUpToDate>false</LinksUpToDate>
  <CharactersWithSpaces>1299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2024-05-17T07:33:00Z</dcterms:created>
  <dc:creator>周周</dc:creator>
  <cp:lastModifiedBy>萤染了白月牙</cp:lastModifiedBy>
  <cp:lastPrinted>2025-05-23T01:20:01Z</cp:lastPrinted>
  <dcterms:modified xsi:type="dcterms:W3CDTF">2025-05-23T01:30:27Z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DC475C6A13044514A7D34391F2467A6B_13</vt:lpwstr>
  </property>
  <property fmtid="{D5CDD505-2E9C-101B-9397-08002B2CF9AE}" pid="4" name="KSOTemplateDocerSaveRecord">
    <vt:lpwstr>eyJoZGlkIjoiMDk4MjJiMmY3YmI0Nzk2NzcwNWVhZjNhZTM2MGE5ODQiLCJ1c2VySWQiOiIxMjE1NjEzMTI5In0=</vt:lpwstr>
  </property>
</Properties>
</file>